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25" w:rsidRPr="00BD5AFA" w:rsidRDefault="00BD5AFA" w:rsidP="006B38D7">
      <w:pPr>
        <w:spacing w:after="240"/>
        <w:ind w:left="5387"/>
        <w:jc w:val="center"/>
      </w:pPr>
      <w:r>
        <w:t xml:space="preserve">Приложение № </w:t>
      </w:r>
      <w:r w:rsidR="00E62A3D">
        <w:t>4</w:t>
      </w:r>
      <w:r>
        <w:br/>
        <w:t>к Методическим рекомендациям по формированию отдельных документов, используемых при осуществлении внутреннего финансового аудита, утвержденным приказом Министерства финансов Российской Федерации</w:t>
      </w:r>
      <w:r>
        <w:br/>
        <w:t>от 01.06.2021 № 246</w:t>
      </w:r>
    </w:p>
    <w:p w:rsidR="00BD5AFA" w:rsidRPr="00BE207F" w:rsidRDefault="00F56FCD" w:rsidP="003064E3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Заключение</w:t>
      </w:r>
      <w:r>
        <w:rPr>
          <w:sz w:val="26"/>
          <w:szCs w:val="26"/>
        </w:rPr>
        <w:br/>
      </w:r>
    </w:p>
    <w:p w:rsidR="00BE207F" w:rsidRDefault="006B38D7" w:rsidP="00BE207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E207F">
        <w:rPr>
          <w:sz w:val="24"/>
          <w:szCs w:val="24"/>
        </w:rPr>
        <w:t>. </w:t>
      </w:r>
      <w:r>
        <w:rPr>
          <w:sz w:val="24"/>
          <w:szCs w:val="24"/>
        </w:rPr>
        <w:t>Тема аудиторского мероприятия:</w:t>
      </w:r>
    </w:p>
    <w:p w:rsidR="00BE207F" w:rsidRPr="003C4242" w:rsidRDefault="006B3201" w:rsidP="003A2B52">
      <w:pPr>
        <w:jc w:val="both"/>
        <w:rPr>
          <w:color w:val="000000" w:themeColor="text1"/>
          <w:sz w:val="24"/>
          <w:szCs w:val="24"/>
        </w:rPr>
      </w:pPr>
      <w:bookmarkStart w:id="0" w:name="_Hlk75270374"/>
      <w:r w:rsidRPr="003C4242">
        <w:rPr>
          <w:color w:val="000000" w:themeColor="text1"/>
          <w:sz w:val="24"/>
          <w:szCs w:val="24"/>
        </w:rPr>
        <w:t xml:space="preserve">1.1. </w:t>
      </w:r>
      <w:r w:rsidR="00B466B2" w:rsidRPr="003C4242">
        <w:rPr>
          <w:color w:val="000000" w:themeColor="text1"/>
          <w:sz w:val="24"/>
          <w:szCs w:val="24"/>
        </w:rPr>
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BA0836" w:rsidRPr="003C4242">
        <w:rPr>
          <w:color w:val="000000" w:themeColor="text1"/>
          <w:sz w:val="24"/>
          <w:szCs w:val="24"/>
        </w:rPr>
        <w:t>, а также оценка надежности внутреннего финансового контроля</w:t>
      </w:r>
      <w:r w:rsidR="00B466B2" w:rsidRPr="003C4242">
        <w:rPr>
          <w:color w:val="000000" w:themeColor="text1"/>
          <w:sz w:val="24"/>
          <w:szCs w:val="24"/>
        </w:rPr>
        <w:t xml:space="preserve"> </w:t>
      </w:r>
      <w:r w:rsidRPr="003C4242">
        <w:rPr>
          <w:color w:val="000000" w:themeColor="text1"/>
          <w:sz w:val="24"/>
          <w:szCs w:val="24"/>
        </w:rPr>
        <w:t>управления о</w:t>
      </w:r>
      <w:r w:rsidR="00A74F33" w:rsidRPr="003C4242">
        <w:rPr>
          <w:color w:val="000000" w:themeColor="text1"/>
          <w:sz w:val="24"/>
          <w:szCs w:val="24"/>
        </w:rPr>
        <w:t>бразования Чагодощенского округа</w:t>
      </w:r>
      <w:r w:rsidRPr="003C4242">
        <w:rPr>
          <w:color w:val="000000" w:themeColor="text1"/>
          <w:sz w:val="24"/>
          <w:szCs w:val="24"/>
        </w:rPr>
        <w:t xml:space="preserve"> </w:t>
      </w:r>
      <w:r w:rsidR="00B466B2" w:rsidRPr="003C4242">
        <w:rPr>
          <w:color w:val="000000" w:themeColor="text1"/>
          <w:sz w:val="24"/>
          <w:szCs w:val="24"/>
        </w:rPr>
        <w:t xml:space="preserve"> за 202</w:t>
      </w:r>
      <w:r w:rsidR="0038750A" w:rsidRPr="003C4242">
        <w:rPr>
          <w:color w:val="000000" w:themeColor="text1"/>
          <w:sz w:val="24"/>
          <w:szCs w:val="24"/>
        </w:rPr>
        <w:t>4</w:t>
      </w:r>
      <w:r w:rsidR="00B466B2" w:rsidRPr="003C4242">
        <w:rPr>
          <w:color w:val="000000" w:themeColor="text1"/>
          <w:sz w:val="24"/>
          <w:szCs w:val="24"/>
        </w:rPr>
        <w:t xml:space="preserve"> г.</w:t>
      </w:r>
      <w:bookmarkEnd w:id="0"/>
    </w:p>
    <w:p w:rsidR="00BE207F" w:rsidRPr="003C4242" w:rsidRDefault="00BE207F" w:rsidP="00BE207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:rsidR="00BE207F" w:rsidRPr="003C4242" w:rsidRDefault="00BD56DB" w:rsidP="00BE207F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1.1.1</w:t>
      </w:r>
      <w:r w:rsidR="008E5FAC" w:rsidRPr="003C4242">
        <w:rPr>
          <w:color w:val="000000" w:themeColor="text1"/>
          <w:sz w:val="24"/>
          <w:szCs w:val="24"/>
        </w:rPr>
        <w:t xml:space="preserve">. </w:t>
      </w:r>
      <w:r w:rsidR="006B38D7" w:rsidRPr="003C4242">
        <w:rPr>
          <w:color w:val="000000" w:themeColor="text1"/>
          <w:sz w:val="24"/>
          <w:szCs w:val="24"/>
        </w:rPr>
        <w:t>Описание выявленных нарушений и (или) недостатков, их причин и условий:</w:t>
      </w:r>
    </w:p>
    <w:p w:rsidR="00BE207F" w:rsidRPr="003C4242" w:rsidRDefault="008E5FAC" w:rsidP="008E5FAC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Нарушения и недостатки не выявлены.</w:t>
      </w:r>
    </w:p>
    <w:p w:rsidR="00BE207F" w:rsidRPr="003C4242" w:rsidRDefault="00E62A3D" w:rsidP="00E62A3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3C4242">
        <w:rPr>
          <w:color w:val="000000" w:themeColor="text1"/>
        </w:rPr>
        <w:t>(в случае выявления нарушений и (или) недостатков)</w:t>
      </w:r>
    </w:p>
    <w:p w:rsidR="00BE207F" w:rsidRPr="003C4242" w:rsidRDefault="00BD56DB" w:rsidP="00E62A3D">
      <w:pPr>
        <w:jc w:val="both"/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1.1.2</w:t>
      </w:r>
      <w:r w:rsidR="00BE207F" w:rsidRPr="003C4242">
        <w:rPr>
          <w:color w:val="000000" w:themeColor="text1"/>
          <w:sz w:val="24"/>
          <w:szCs w:val="24"/>
        </w:rPr>
        <w:t>. </w:t>
      </w:r>
      <w:r w:rsidR="006B38D7" w:rsidRPr="003C4242">
        <w:rPr>
          <w:color w:val="000000" w:themeColor="text1"/>
          <w:sz w:val="24"/>
          <w:szCs w:val="24"/>
        </w:rPr>
        <w:t xml:space="preserve">Описание выявленных бюджетных рисков, </w:t>
      </w:r>
      <w:r w:rsidR="00E62A3D" w:rsidRPr="003C4242">
        <w:rPr>
          <w:color w:val="000000" w:themeColor="text1"/>
          <w:sz w:val="24"/>
          <w:szCs w:val="24"/>
        </w:rPr>
        <w:t>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минимизации (устранению) бюджетных рисков и по организации внутреннего финансового контроля:</w:t>
      </w:r>
    </w:p>
    <w:p w:rsidR="00BE207F" w:rsidRPr="003C4242" w:rsidRDefault="00BD56DB" w:rsidP="00BD56DB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Бюджетные риски не в</w:t>
      </w:r>
      <w:r w:rsidR="00855BA8" w:rsidRPr="003C4242">
        <w:rPr>
          <w:color w:val="000000" w:themeColor="text1"/>
          <w:sz w:val="24"/>
          <w:szCs w:val="24"/>
        </w:rPr>
        <w:t>ы</w:t>
      </w:r>
      <w:r w:rsidRPr="003C4242">
        <w:rPr>
          <w:color w:val="000000" w:themeColor="text1"/>
          <w:sz w:val="24"/>
          <w:szCs w:val="24"/>
        </w:rPr>
        <w:t>явлены.</w:t>
      </w:r>
    </w:p>
    <w:p w:rsidR="00BE207F" w:rsidRPr="003C4242" w:rsidRDefault="00BE207F" w:rsidP="00BE207F">
      <w:pPr>
        <w:pBdr>
          <w:top w:val="single" w:sz="4" w:space="1" w:color="auto"/>
        </w:pBdr>
        <w:rPr>
          <w:color w:val="000000" w:themeColor="text1"/>
          <w:sz w:val="2"/>
          <w:szCs w:val="2"/>
        </w:rPr>
      </w:pPr>
    </w:p>
    <w:p w:rsidR="00BD56DB" w:rsidRPr="003C4242" w:rsidRDefault="00BD56DB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2. Тема аудиторского мероприятия: </w:t>
      </w:r>
    </w:p>
    <w:p w:rsidR="00BD56DB" w:rsidRPr="003C4242" w:rsidRDefault="001A03C6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2</w:t>
      </w:r>
      <w:r w:rsidR="00BD56DB" w:rsidRPr="003C4242">
        <w:rPr>
          <w:color w:val="000000" w:themeColor="text1"/>
          <w:sz w:val="24"/>
          <w:szCs w:val="24"/>
        </w:rPr>
        <w:t>.2. Анализ осуществления  полномочий главного распорядителя бюджетных средств «Выполнение му</w:t>
      </w:r>
      <w:r w:rsidR="00A74F33" w:rsidRPr="003C4242">
        <w:rPr>
          <w:color w:val="000000" w:themeColor="text1"/>
          <w:sz w:val="24"/>
          <w:szCs w:val="24"/>
        </w:rPr>
        <w:t>ни</w:t>
      </w:r>
      <w:r w:rsidR="0038750A" w:rsidRPr="003C4242">
        <w:rPr>
          <w:color w:val="000000" w:themeColor="text1"/>
          <w:sz w:val="24"/>
          <w:szCs w:val="24"/>
        </w:rPr>
        <w:t>ципального задания за 2024</w:t>
      </w:r>
      <w:r w:rsidR="00BD56DB" w:rsidRPr="003C4242">
        <w:rPr>
          <w:color w:val="000000" w:themeColor="text1"/>
          <w:sz w:val="24"/>
          <w:szCs w:val="24"/>
        </w:rPr>
        <w:t xml:space="preserve"> год». </w:t>
      </w:r>
    </w:p>
    <w:p w:rsidR="00BA0836" w:rsidRPr="003C4242" w:rsidRDefault="001A03C6" w:rsidP="00BA0836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2</w:t>
      </w:r>
      <w:r w:rsidR="00BD56DB" w:rsidRPr="003C4242">
        <w:rPr>
          <w:color w:val="000000" w:themeColor="text1"/>
          <w:sz w:val="24"/>
          <w:szCs w:val="24"/>
        </w:rPr>
        <w:t xml:space="preserve">.2.1.  </w:t>
      </w:r>
      <w:r w:rsidR="00BA0836" w:rsidRPr="003C4242">
        <w:rPr>
          <w:color w:val="000000" w:themeColor="text1"/>
          <w:sz w:val="24"/>
          <w:szCs w:val="24"/>
        </w:rPr>
        <w:t>Описание выявленных нарушений и (или) недостатков, их причин и условий: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b/>
          <w:bCs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- МБОУ «Чагодская СОШ»: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Выявлено отклонение более 5%: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образования, дети от 3 до 8 лет» - по причине: Выпуск детей в школу, снижение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2 «Образовательная программа начального общего образования. Обучающиеся за исключением обучающихся с ОВЗ и детей-инвалидов» - по причине «Снижение контингента  обучающихся. Уменьшение набора в 1-е классы»;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2  «Образовательная программа начального общего образования. Дети-инвалиды» - по причине «Переход обучающегося на обучение по программам основного общего образования»;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2 «Адаптированная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нарушениями). Обучающиеся с ОВЗ» - по причине «Увеличение количества детей, обучающихся по адаптированной основной общеобразовательной программе»;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«Образовательная программа основного общего образования» - по причине «Снижение контингента. Уменьшение количества обучающихся 5-х классов»;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«Адаптированная основная общеобразовательная программа основного общего образования. Дети-инвалиды» - по причине «Увеличение количества детей-инвалидов»;</w:t>
      </w:r>
    </w:p>
    <w:p w:rsidR="0038750A" w:rsidRPr="003C4242" w:rsidRDefault="0038750A" w:rsidP="0038750A">
      <w:pPr>
        <w:numPr>
          <w:ilvl w:val="0"/>
          <w:numId w:val="1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нарушениями). Обучающиеся с ОВЗ» - по причине «Увеличение количества обучающихся с ОВЗ».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b/>
          <w:bCs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- МБОУ «Сазоновская СОШ»: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Выявлено отклонение более 5%: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образования, дети от 3 до 8 лет» - по причине: Выпуск детей в школу, снижение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 xml:space="preserve">Раздел 2 «Адаптированная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нарушениями). </w:t>
      </w:r>
      <w:r w:rsidRPr="003C4242">
        <w:rPr>
          <w:rFonts w:eastAsia="SimSun"/>
          <w:color w:val="000000" w:themeColor="text1"/>
          <w:sz w:val="24"/>
          <w:szCs w:val="24"/>
          <w:lang w:eastAsia="zh-CN"/>
        </w:rPr>
        <w:lastRenderedPageBreak/>
        <w:t>Обучающиеся с ОВЗ, проходящие обучение на дому» - по причине «Перевод обучающегося на очную форму обучения»;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«Образовательная программа основного общего образования» - по причине «Многочисленный выпуск обучающихся 9-х классов и уменьшение набора в 5-е классы в сравнении с предыдущим периодом, а также перевод обучающихся на адаптированные программы»;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«Образовательная программа основного общего образования. Проходящие обучение на дому по состоянию здоровья» - по причине «Перевод обучающегося на очную форму обучения»;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нарушениями). Обучающиеся с ОВЗ. Проходящие обучение на дому по состоянию здоровья» - по причине «Завершение обучения по основной образовательной программе»;</w:t>
      </w:r>
    </w:p>
    <w:p w:rsidR="0038750A" w:rsidRPr="003C4242" w:rsidRDefault="0038750A" w:rsidP="0038750A">
      <w:pPr>
        <w:numPr>
          <w:ilvl w:val="0"/>
          <w:numId w:val="2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4 «Образовательная программа, обеспечивающая углубленное изучение отдельных учебных предметов, предметных областей (профильное обучение)» - по причине «Малочисленный набор обучающихся в 10 класс, в связи с выбором выпускников образования в СПО Вологодской области»;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b/>
          <w:bCs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- МБОУ «Первомайская ООШ»: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Выявлено отклонение более 5%:</w:t>
      </w:r>
    </w:p>
    <w:p w:rsidR="0038750A" w:rsidRPr="003C4242" w:rsidRDefault="0038750A" w:rsidP="0038750A">
      <w:pPr>
        <w:numPr>
          <w:ilvl w:val="0"/>
          <w:numId w:val="3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образования, дети от 1 до 3 лет» - по причине: «Уменьшение рождаемости, снижение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3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образования, дети от 3 до 8 лет» - по причине: «Уменьшение рождаемости, снижение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3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2  «Образовательная программа начального общего образования. Дети-инвалиды» - по причине «Переход обучающегося на обучение по программам основного общего образования»;</w:t>
      </w:r>
    </w:p>
    <w:p w:rsidR="0038750A" w:rsidRPr="003C4242" w:rsidRDefault="0038750A" w:rsidP="0038750A">
      <w:pPr>
        <w:numPr>
          <w:ilvl w:val="0"/>
          <w:numId w:val="3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3 «Образовательная программа основного общего образования» - по причине «Снижение контингента по причине  перехода обучающихся 5-ого класса в другое общеобразовательное учреждение на территории округа».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b/>
          <w:bCs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- МБДОУ «Детский сад комбинированного вида п.Чагода»: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Выявлено отклонение более 5%:</w:t>
      </w:r>
    </w:p>
    <w:p w:rsidR="0038750A" w:rsidRPr="003C4242" w:rsidRDefault="0038750A" w:rsidP="0038750A">
      <w:pPr>
        <w:numPr>
          <w:ilvl w:val="0"/>
          <w:numId w:val="4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образования. Обучающиеся за исключением обучающихся с ОВЗ и детей-инвадидов, от 1 года 3 лет» - по причине: «Снижение рождаемости, уменьшение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4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«Образовательная программа дошкольного образования. Обучающиеся за исключением обучающихся с ОВЗ и детей-инвадидов, от 3 лет до 8 лет» - по причине: «Выпуск детей в школу. Уменьшение количества детей дошкольного возраста»;</w:t>
      </w:r>
    </w:p>
    <w:p w:rsidR="0038750A" w:rsidRPr="003C4242" w:rsidRDefault="0038750A" w:rsidP="0038750A">
      <w:pPr>
        <w:numPr>
          <w:ilvl w:val="0"/>
          <w:numId w:val="4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«Адаптированная образовательная программа дошкольного образования. Обучающиеся с ОВЗ, от 3 лет до 8 лет» - по причине «Увеличение количества детей с ОВЗ».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b/>
          <w:bCs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- МБДОУ «Сазоновский детс</w:t>
      </w:r>
      <w:r w:rsidR="00055D41"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к</w:t>
      </w:r>
      <w:r w:rsidRPr="003C4242">
        <w:rPr>
          <w:rFonts w:eastAsia="SimSun"/>
          <w:b/>
          <w:bCs/>
          <w:color w:val="000000" w:themeColor="text1"/>
          <w:sz w:val="24"/>
          <w:szCs w:val="24"/>
          <w:lang w:eastAsia="zh-CN"/>
        </w:rPr>
        <w:t>ий сад»:</w:t>
      </w:r>
    </w:p>
    <w:p w:rsidR="0038750A" w:rsidRPr="003C4242" w:rsidRDefault="0038750A" w:rsidP="0038750A">
      <w:pPr>
        <w:autoSpaceDE/>
        <w:autoSpaceDN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Выявлено отклонение более 5%:</w:t>
      </w:r>
    </w:p>
    <w:p w:rsidR="0038750A" w:rsidRPr="003C4242" w:rsidRDefault="0038750A" w:rsidP="0038750A">
      <w:pPr>
        <w:numPr>
          <w:ilvl w:val="0"/>
          <w:numId w:val="5"/>
        </w:numPr>
        <w:autoSpaceDE/>
        <w:autoSpaceDN/>
        <w:ind w:firstLineChars="142" w:firstLine="341"/>
        <w:jc w:val="both"/>
        <w:rPr>
          <w:rFonts w:eastAsia="SimSun"/>
          <w:color w:val="000000" w:themeColor="text1"/>
          <w:sz w:val="24"/>
          <w:szCs w:val="24"/>
          <w:lang w:eastAsia="zh-CN"/>
        </w:rPr>
      </w:pPr>
      <w:r w:rsidRPr="003C4242">
        <w:rPr>
          <w:rFonts w:eastAsia="SimSun"/>
          <w:color w:val="000000" w:themeColor="text1"/>
          <w:sz w:val="24"/>
          <w:szCs w:val="24"/>
          <w:lang w:eastAsia="zh-CN"/>
        </w:rPr>
        <w:t>Раздел 1 «Адаптированная образовательная программа дошкольного образования. Обучающиеся с ОВЗ, от 3 лет до 8 лет» - по причине «Увеличение количества детей, обучающихся по адаптированной образовательной программе (получение заключений ПМПК).</w:t>
      </w:r>
    </w:p>
    <w:p w:rsidR="00BA0836" w:rsidRPr="003C4242" w:rsidRDefault="001A03C6" w:rsidP="00BA0836">
      <w:pPr>
        <w:jc w:val="both"/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2</w:t>
      </w:r>
      <w:r w:rsidR="00855BA8" w:rsidRPr="003C4242">
        <w:rPr>
          <w:color w:val="000000" w:themeColor="text1"/>
          <w:sz w:val="24"/>
          <w:szCs w:val="24"/>
        </w:rPr>
        <w:t xml:space="preserve">.2.2.  </w:t>
      </w:r>
      <w:r w:rsidR="000D00F3" w:rsidRPr="003C4242">
        <w:rPr>
          <w:color w:val="000000" w:themeColor="text1"/>
          <w:sz w:val="24"/>
          <w:szCs w:val="24"/>
        </w:rPr>
        <w:t>Описание возможных</w:t>
      </w:r>
      <w:r w:rsidR="00BA0836" w:rsidRPr="003C4242">
        <w:rPr>
          <w:color w:val="000000" w:themeColor="text1"/>
          <w:sz w:val="24"/>
          <w:szCs w:val="24"/>
        </w:rPr>
        <w:t xml:space="preserve"> бюджетных рисков, 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минимизации (устранению) бюджетных рисков и по организации внутреннего финансового контроля:</w:t>
      </w:r>
    </w:p>
    <w:p w:rsidR="000D00F3" w:rsidRPr="003C4242" w:rsidRDefault="00264B4F" w:rsidP="00855BA8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Составление, утверждение и вып</w:t>
      </w:r>
      <w:r w:rsidR="000D00F3" w:rsidRPr="003C4242">
        <w:rPr>
          <w:color w:val="000000" w:themeColor="text1"/>
          <w:sz w:val="24"/>
          <w:szCs w:val="24"/>
        </w:rPr>
        <w:t>олнение муниципального задания – не выявлено;</w:t>
      </w:r>
    </w:p>
    <w:p w:rsidR="000D00F3" w:rsidRPr="003C4242" w:rsidRDefault="00264B4F" w:rsidP="00855BA8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Формирование и утверждение получателем бюджетных с</w:t>
      </w:r>
      <w:r w:rsidR="000D00F3" w:rsidRPr="003C4242">
        <w:rPr>
          <w:color w:val="000000" w:themeColor="text1"/>
          <w:sz w:val="24"/>
          <w:szCs w:val="24"/>
        </w:rPr>
        <w:t xml:space="preserve">редств муниципального задания – </w:t>
      </w:r>
    </w:p>
    <w:p w:rsidR="00855BA8" w:rsidRPr="003C4242" w:rsidRDefault="000D00F3" w:rsidP="00855BA8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не выявлено;</w:t>
      </w:r>
    </w:p>
    <w:p w:rsidR="009B5DC7" w:rsidRPr="003C4242" w:rsidRDefault="001A03C6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2</w:t>
      </w:r>
      <w:r w:rsidR="009B5DC7" w:rsidRPr="003C4242">
        <w:rPr>
          <w:color w:val="000000" w:themeColor="text1"/>
          <w:sz w:val="24"/>
          <w:szCs w:val="24"/>
        </w:rPr>
        <w:t xml:space="preserve">.3. В соответствии с </w:t>
      </w:r>
      <w:r w:rsidR="00BA0836" w:rsidRPr="003C4242">
        <w:rPr>
          <w:color w:val="000000" w:themeColor="text1"/>
          <w:sz w:val="24"/>
          <w:szCs w:val="24"/>
        </w:rPr>
        <w:t>постановлением администрации Чагод</w:t>
      </w:r>
      <w:r w:rsidR="00DA226A" w:rsidRPr="003C4242">
        <w:rPr>
          <w:color w:val="000000" w:themeColor="text1"/>
          <w:sz w:val="24"/>
          <w:szCs w:val="24"/>
        </w:rPr>
        <w:t>ощенского муниципального округа от 09.01.2023 №05 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округа и финансовом обеспечении выполнения муниципального задания</w:t>
      </w:r>
      <w:r w:rsidR="00BA0836" w:rsidRPr="003C4242">
        <w:rPr>
          <w:color w:val="000000" w:themeColor="text1"/>
          <w:sz w:val="24"/>
          <w:szCs w:val="24"/>
        </w:rPr>
        <w:t xml:space="preserve">» </w:t>
      </w:r>
      <w:r w:rsidR="009B5DC7" w:rsidRPr="003C4242">
        <w:rPr>
          <w:color w:val="000000" w:themeColor="text1"/>
          <w:sz w:val="24"/>
          <w:szCs w:val="24"/>
        </w:rPr>
        <w:t>учреждения не позднее 5 рабочих дней</w:t>
      </w:r>
      <w:r w:rsidR="00DD6854" w:rsidRPr="003C4242">
        <w:rPr>
          <w:color w:val="000000" w:themeColor="text1"/>
          <w:sz w:val="24"/>
          <w:szCs w:val="24"/>
        </w:rPr>
        <w:t xml:space="preserve"> </w:t>
      </w:r>
      <w:r w:rsidR="00DA226A" w:rsidRPr="003C4242">
        <w:rPr>
          <w:color w:val="000000" w:themeColor="text1"/>
          <w:sz w:val="24"/>
          <w:szCs w:val="24"/>
        </w:rPr>
        <w:t>(08.02.2024</w:t>
      </w:r>
      <w:r w:rsidR="00C66B15" w:rsidRPr="003C4242">
        <w:rPr>
          <w:color w:val="000000" w:themeColor="text1"/>
          <w:sz w:val="24"/>
          <w:szCs w:val="24"/>
        </w:rPr>
        <w:t xml:space="preserve">) </w:t>
      </w:r>
      <w:r w:rsidR="009B5DC7" w:rsidRPr="003C4242">
        <w:rPr>
          <w:color w:val="000000" w:themeColor="text1"/>
          <w:sz w:val="24"/>
          <w:szCs w:val="24"/>
        </w:rPr>
        <w:t xml:space="preserve"> после предоставления ответа в управление образования учреждения размещают на сайтах</w:t>
      </w:r>
      <w:r w:rsidR="00DD6854" w:rsidRPr="003C4242">
        <w:rPr>
          <w:color w:val="000000" w:themeColor="text1"/>
          <w:sz w:val="24"/>
          <w:szCs w:val="24"/>
        </w:rPr>
        <w:t xml:space="preserve"> </w:t>
      </w:r>
      <w:r w:rsidR="009B5DC7" w:rsidRPr="003C4242">
        <w:rPr>
          <w:color w:val="000000" w:themeColor="text1"/>
          <w:sz w:val="24"/>
          <w:szCs w:val="24"/>
        </w:rPr>
        <w:t xml:space="preserve"> муници</w:t>
      </w:r>
      <w:r w:rsidR="00DD6854" w:rsidRPr="003C4242">
        <w:rPr>
          <w:color w:val="000000" w:themeColor="text1"/>
          <w:sz w:val="24"/>
          <w:szCs w:val="24"/>
        </w:rPr>
        <w:t>пальные задания и отчеты по ним:</w:t>
      </w:r>
      <w:r w:rsidR="009B5DC7" w:rsidRPr="003C4242">
        <w:rPr>
          <w:color w:val="000000" w:themeColor="text1"/>
          <w:sz w:val="24"/>
          <w:szCs w:val="24"/>
        </w:rPr>
        <w:t xml:space="preserve"> </w:t>
      </w:r>
    </w:p>
    <w:p w:rsidR="00DD6854" w:rsidRPr="003C4242" w:rsidRDefault="00DD6854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МБДОУ «Детский сад комбинированного вида</w:t>
      </w:r>
      <w:r w:rsidR="004342B7" w:rsidRPr="003C4242">
        <w:rPr>
          <w:color w:val="000000" w:themeColor="text1"/>
          <w:sz w:val="24"/>
          <w:szCs w:val="24"/>
        </w:rPr>
        <w:t xml:space="preserve"> </w:t>
      </w:r>
      <w:r w:rsidRPr="003C4242">
        <w:rPr>
          <w:color w:val="000000" w:themeColor="text1"/>
          <w:sz w:val="24"/>
          <w:szCs w:val="24"/>
        </w:rPr>
        <w:t xml:space="preserve"> п.</w:t>
      </w:r>
      <w:r w:rsidR="004342B7" w:rsidRPr="003C4242">
        <w:rPr>
          <w:color w:val="000000" w:themeColor="text1"/>
          <w:sz w:val="24"/>
          <w:szCs w:val="24"/>
        </w:rPr>
        <w:t xml:space="preserve"> </w:t>
      </w:r>
      <w:r w:rsidR="007918D5" w:rsidRPr="003C4242">
        <w:rPr>
          <w:color w:val="000000" w:themeColor="text1"/>
          <w:sz w:val="24"/>
          <w:szCs w:val="24"/>
        </w:rPr>
        <w:t xml:space="preserve">Чагода» - </w:t>
      </w:r>
      <w:r w:rsidRPr="003C4242">
        <w:rPr>
          <w:color w:val="000000" w:themeColor="text1"/>
          <w:sz w:val="24"/>
          <w:szCs w:val="24"/>
        </w:rPr>
        <w:t xml:space="preserve"> размещено;</w:t>
      </w:r>
    </w:p>
    <w:p w:rsidR="00DD6854" w:rsidRPr="003C4242" w:rsidRDefault="00DD6854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МБДОУ «Сазоновский детский сад» - размещено;</w:t>
      </w:r>
    </w:p>
    <w:p w:rsidR="00DD6854" w:rsidRPr="003C4242" w:rsidRDefault="00DD6854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МБОУ «ЧСОШ» - </w:t>
      </w:r>
      <w:r w:rsidR="00E83C10" w:rsidRPr="003C4242">
        <w:rPr>
          <w:color w:val="000000" w:themeColor="text1"/>
          <w:sz w:val="24"/>
          <w:szCs w:val="24"/>
        </w:rPr>
        <w:t xml:space="preserve"> </w:t>
      </w:r>
      <w:r w:rsidRPr="003C4242">
        <w:rPr>
          <w:color w:val="000000" w:themeColor="text1"/>
          <w:sz w:val="24"/>
          <w:szCs w:val="24"/>
        </w:rPr>
        <w:t>размещено;</w:t>
      </w:r>
    </w:p>
    <w:p w:rsidR="00DD6854" w:rsidRPr="003C4242" w:rsidRDefault="00DD6854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</w:t>
      </w:r>
      <w:r w:rsidR="00DA226A" w:rsidRPr="003C4242">
        <w:rPr>
          <w:color w:val="000000" w:themeColor="text1"/>
          <w:sz w:val="24"/>
          <w:szCs w:val="24"/>
        </w:rPr>
        <w:t xml:space="preserve">МБОУ «ССОШ» - </w:t>
      </w:r>
      <w:r w:rsidRPr="003C4242">
        <w:rPr>
          <w:color w:val="000000" w:themeColor="text1"/>
          <w:sz w:val="24"/>
          <w:szCs w:val="24"/>
        </w:rPr>
        <w:t>размещено;</w:t>
      </w:r>
    </w:p>
    <w:p w:rsidR="00DD6854" w:rsidRPr="003C4242" w:rsidRDefault="009F6151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МБОУ «ПООШ» - </w:t>
      </w:r>
      <w:r w:rsidR="00DD6854" w:rsidRPr="003C4242">
        <w:rPr>
          <w:color w:val="000000" w:themeColor="text1"/>
          <w:sz w:val="24"/>
          <w:szCs w:val="24"/>
        </w:rPr>
        <w:t>размещено;</w:t>
      </w:r>
    </w:p>
    <w:p w:rsidR="00DD6854" w:rsidRPr="003C4242" w:rsidRDefault="00E83C10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МБУ ДО «ЦДО» - </w:t>
      </w:r>
      <w:r w:rsidR="00DD6854" w:rsidRPr="003C4242">
        <w:rPr>
          <w:color w:val="000000" w:themeColor="text1"/>
          <w:sz w:val="24"/>
          <w:szCs w:val="24"/>
        </w:rPr>
        <w:t xml:space="preserve"> размещено;</w:t>
      </w:r>
    </w:p>
    <w:p w:rsidR="00DD6854" w:rsidRPr="003C4242" w:rsidRDefault="00E83C10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МБУ «ЦОД»  - </w:t>
      </w:r>
      <w:r w:rsidR="00DD6854" w:rsidRPr="003C4242">
        <w:rPr>
          <w:color w:val="000000" w:themeColor="text1"/>
          <w:sz w:val="24"/>
          <w:szCs w:val="24"/>
        </w:rPr>
        <w:t xml:space="preserve"> размещено;</w:t>
      </w:r>
    </w:p>
    <w:p w:rsidR="00A8660A" w:rsidRPr="003C4242" w:rsidRDefault="00A8660A" w:rsidP="00E62A3D">
      <w:pPr>
        <w:rPr>
          <w:b/>
          <w:color w:val="000000" w:themeColor="text1"/>
          <w:sz w:val="24"/>
          <w:szCs w:val="24"/>
        </w:rPr>
      </w:pPr>
    </w:p>
    <w:p w:rsidR="00DD6854" w:rsidRPr="003C4242" w:rsidRDefault="00DD6854" w:rsidP="00E62A3D">
      <w:pPr>
        <w:rPr>
          <w:b/>
          <w:color w:val="000000" w:themeColor="text1"/>
          <w:sz w:val="24"/>
          <w:szCs w:val="24"/>
        </w:rPr>
      </w:pPr>
      <w:r w:rsidRPr="003C4242">
        <w:rPr>
          <w:b/>
          <w:color w:val="000000" w:themeColor="text1"/>
          <w:sz w:val="24"/>
          <w:szCs w:val="24"/>
        </w:rPr>
        <w:t xml:space="preserve">В системе </w:t>
      </w:r>
      <w:r w:rsidRPr="003C4242">
        <w:rPr>
          <w:b/>
          <w:color w:val="000000" w:themeColor="text1"/>
          <w:sz w:val="24"/>
          <w:szCs w:val="24"/>
          <w:lang w:val="en-US"/>
        </w:rPr>
        <w:t>BUS</w:t>
      </w:r>
      <w:r w:rsidRPr="003C4242">
        <w:rPr>
          <w:b/>
          <w:color w:val="000000" w:themeColor="text1"/>
          <w:sz w:val="24"/>
          <w:szCs w:val="24"/>
        </w:rPr>
        <w:t>.</w:t>
      </w:r>
      <w:r w:rsidRPr="003C4242">
        <w:rPr>
          <w:b/>
          <w:color w:val="000000" w:themeColor="text1"/>
          <w:sz w:val="24"/>
          <w:szCs w:val="24"/>
          <w:lang w:val="en-US"/>
        </w:rPr>
        <w:t>GOV</w:t>
      </w:r>
      <w:r w:rsidRPr="003C4242">
        <w:rPr>
          <w:b/>
          <w:color w:val="000000" w:themeColor="text1"/>
          <w:sz w:val="24"/>
          <w:szCs w:val="24"/>
        </w:rPr>
        <w:t>: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МБДОУ «Детский сад комб</w:t>
      </w:r>
      <w:r w:rsidR="00C66B15" w:rsidRPr="003C4242">
        <w:rPr>
          <w:color w:val="000000" w:themeColor="text1"/>
          <w:sz w:val="24"/>
          <w:szCs w:val="24"/>
        </w:rPr>
        <w:t>инированного вида п.</w:t>
      </w:r>
      <w:r w:rsidR="00A74A4F" w:rsidRPr="003C4242">
        <w:rPr>
          <w:color w:val="000000" w:themeColor="text1"/>
          <w:sz w:val="24"/>
          <w:szCs w:val="24"/>
        </w:rPr>
        <w:t xml:space="preserve"> </w:t>
      </w:r>
      <w:r w:rsidR="00C66B15" w:rsidRPr="003C4242">
        <w:rPr>
          <w:color w:val="000000" w:themeColor="text1"/>
          <w:sz w:val="24"/>
          <w:szCs w:val="24"/>
        </w:rPr>
        <w:t xml:space="preserve">Чагода» - </w:t>
      </w:r>
      <w:r w:rsidR="00A8660A" w:rsidRPr="003C4242">
        <w:rPr>
          <w:color w:val="000000" w:themeColor="text1"/>
          <w:sz w:val="24"/>
          <w:szCs w:val="24"/>
        </w:rPr>
        <w:t xml:space="preserve">размещено - </w:t>
      </w:r>
      <w:r w:rsidR="0063666C" w:rsidRPr="003C4242">
        <w:rPr>
          <w:color w:val="000000" w:themeColor="text1"/>
          <w:sz w:val="24"/>
          <w:szCs w:val="24"/>
        </w:rPr>
        <w:t>18.01.2024</w:t>
      </w:r>
      <w:r w:rsidRPr="003C4242">
        <w:rPr>
          <w:color w:val="000000" w:themeColor="text1"/>
          <w:sz w:val="24"/>
          <w:szCs w:val="24"/>
        </w:rPr>
        <w:t>;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МБДОУ «Сазоновски</w:t>
      </w:r>
      <w:r w:rsidR="00A8660A" w:rsidRPr="003C4242">
        <w:rPr>
          <w:color w:val="000000" w:themeColor="text1"/>
          <w:sz w:val="24"/>
          <w:szCs w:val="24"/>
        </w:rPr>
        <w:t>й детский сад» - размещено –</w:t>
      </w:r>
      <w:r w:rsidR="0063666C" w:rsidRPr="003C4242">
        <w:rPr>
          <w:color w:val="000000" w:themeColor="text1"/>
          <w:sz w:val="24"/>
          <w:szCs w:val="24"/>
        </w:rPr>
        <w:t xml:space="preserve"> 24.01.2024</w:t>
      </w:r>
      <w:r w:rsidRPr="003C4242">
        <w:rPr>
          <w:color w:val="000000" w:themeColor="text1"/>
          <w:sz w:val="24"/>
          <w:szCs w:val="24"/>
        </w:rPr>
        <w:t>;</w:t>
      </w:r>
    </w:p>
    <w:p w:rsidR="00DD6854" w:rsidRPr="003C4242" w:rsidRDefault="0063666C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МБОУ «ЧСОШ» - размещено – 29.01.2024</w:t>
      </w:r>
      <w:r w:rsidR="00DD6854" w:rsidRPr="003C4242">
        <w:rPr>
          <w:color w:val="000000" w:themeColor="text1"/>
          <w:sz w:val="24"/>
          <w:szCs w:val="24"/>
        </w:rPr>
        <w:t>;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 xml:space="preserve">- МБОУ «ССОШ» - </w:t>
      </w:r>
      <w:r w:rsidR="0063666C" w:rsidRPr="003C4242">
        <w:rPr>
          <w:color w:val="000000" w:themeColor="text1"/>
          <w:sz w:val="24"/>
          <w:szCs w:val="24"/>
        </w:rPr>
        <w:t>размещено 16.01.2024</w:t>
      </w:r>
      <w:r w:rsidR="0060510E" w:rsidRPr="003C4242">
        <w:rPr>
          <w:color w:val="000000" w:themeColor="text1"/>
          <w:sz w:val="24"/>
          <w:szCs w:val="24"/>
        </w:rPr>
        <w:t>;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МБОУ «ПООШ»</w:t>
      </w:r>
      <w:r w:rsidR="0063666C" w:rsidRPr="003C4242">
        <w:rPr>
          <w:color w:val="000000" w:themeColor="text1"/>
          <w:sz w:val="24"/>
          <w:szCs w:val="24"/>
        </w:rPr>
        <w:t xml:space="preserve"> - размещено 09.02.2024</w:t>
      </w:r>
      <w:r w:rsidR="00A8660A" w:rsidRPr="003C4242">
        <w:rPr>
          <w:color w:val="000000" w:themeColor="text1"/>
          <w:sz w:val="24"/>
          <w:szCs w:val="24"/>
        </w:rPr>
        <w:t xml:space="preserve"> (нарушение сроков);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МБУ ДО «ЦДО»</w:t>
      </w:r>
      <w:r w:rsidR="0063666C" w:rsidRPr="003C4242">
        <w:rPr>
          <w:color w:val="000000" w:themeColor="text1"/>
          <w:sz w:val="24"/>
          <w:szCs w:val="24"/>
        </w:rPr>
        <w:t xml:space="preserve"> - размещено 06.02.2024</w:t>
      </w:r>
      <w:r w:rsidRPr="003C4242">
        <w:rPr>
          <w:color w:val="000000" w:themeColor="text1"/>
          <w:sz w:val="24"/>
          <w:szCs w:val="24"/>
        </w:rPr>
        <w:t>;</w:t>
      </w:r>
    </w:p>
    <w:p w:rsidR="00DD6854" w:rsidRPr="003C4242" w:rsidRDefault="00DD6854" w:rsidP="00DD6854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- МБУ «ЦОД»</w:t>
      </w:r>
      <w:r w:rsidR="0060510E" w:rsidRPr="003C4242">
        <w:rPr>
          <w:color w:val="000000" w:themeColor="text1"/>
          <w:sz w:val="24"/>
          <w:szCs w:val="24"/>
        </w:rPr>
        <w:t xml:space="preserve">  -  </w:t>
      </w:r>
      <w:r w:rsidR="0063666C" w:rsidRPr="003C4242">
        <w:rPr>
          <w:color w:val="000000" w:themeColor="text1"/>
          <w:sz w:val="24"/>
          <w:szCs w:val="24"/>
        </w:rPr>
        <w:t>размещено 16.01.2024 ;</w:t>
      </w:r>
    </w:p>
    <w:p w:rsidR="00DD6854" w:rsidRPr="003C4242" w:rsidRDefault="00DD6854" w:rsidP="00E62A3D">
      <w:pPr>
        <w:rPr>
          <w:color w:val="000000" w:themeColor="text1"/>
          <w:sz w:val="24"/>
          <w:szCs w:val="24"/>
        </w:rPr>
      </w:pPr>
    </w:p>
    <w:p w:rsidR="00BE207F" w:rsidRPr="003C4242" w:rsidRDefault="001A03C6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3</w:t>
      </w:r>
      <w:r w:rsidR="00BE207F" w:rsidRPr="003C4242">
        <w:rPr>
          <w:color w:val="000000" w:themeColor="text1"/>
          <w:sz w:val="24"/>
          <w:szCs w:val="24"/>
        </w:rPr>
        <w:t>. </w:t>
      </w:r>
      <w:r w:rsidR="00E62A3D" w:rsidRPr="003C4242">
        <w:rPr>
          <w:color w:val="000000" w:themeColor="text1"/>
          <w:sz w:val="24"/>
          <w:szCs w:val="24"/>
        </w:rPr>
        <w:t>Выводы о достижении цели (целей) осуществления внутреннего финансового аудита:</w:t>
      </w:r>
    </w:p>
    <w:p w:rsidR="006B38D7" w:rsidRPr="003C4242" w:rsidRDefault="00B466B2" w:rsidP="00BE207F">
      <w:pPr>
        <w:jc w:val="both"/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Бюджетная отчетность</w:t>
      </w:r>
      <w:r w:rsidR="009E1B0E" w:rsidRPr="003C4242">
        <w:rPr>
          <w:color w:val="000000" w:themeColor="text1"/>
          <w:sz w:val="24"/>
          <w:szCs w:val="24"/>
        </w:rPr>
        <w:t xml:space="preserve"> управления образования района</w:t>
      </w:r>
      <w:r w:rsidRPr="003C4242">
        <w:rPr>
          <w:color w:val="000000" w:themeColor="text1"/>
          <w:sz w:val="24"/>
          <w:szCs w:val="24"/>
        </w:rPr>
        <w:t xml:space="preserve"> за 202</w:t>
      </w:r>
      <w:r w:rsidR="0063666C" w:rsidRPr="003C4242">
        <w:rPr>
          <w:color w:val="000000" w:themeColor="text1"/>
          <w:sz w:val="24"/>
          <w:szCs w:val="24"/>
        </w:rPr>
        <w:t>4</w:t>
      </w:r>
      <w:r w:rsidRPr="003C4242">
        <w:rPr>
          <w:color w:val="000000" w:themeColor="text1"/>
          <w:sz w:val="24"/>
          <w:szCs w:val="24"/>
        </w:rPr>
        <w:t xml:space="preserve"> г. содержит все формы, предусмотренные п. 11.1 Инструкции </w:t>
      </w:r>
      <w:r w:rsidRPr="003C4242">
        <w:rPr>
          <w:color w:val="000000" w:themeColor="text1"/>
          <w:sz w:val="24"/>
          <w:szCs w:val="24"/>
          <w:lang w:val="en-US"/>
        </w:rPr>
        <w:t>N</w:t>
      </w:r>
      <w:r w:rsidRPr="003C4242">
        <w:rPr>
          <w:color w:val="000000" w:themeColor="text1"/>
          <w:sz w:val="24"/>
          <w:szCs w:val="24"/>
        </w:rPr>
        <w:t xml:space="preserve"> </w:t>
      </w:r>
      <w:r w:rsidR="001A03C6" w:rsidRPr="003C4242">
        <w:rPr>
          <w:color w:val="000000" w:themeColor="text1"/>
          <w:sz w:val="24"/>
          <w:szCs w:val="24"/>
        </w:rPr>
        <w:t>191н</w:t>
      </w:r>
      <w:r w:rsidRPr="003C4242">
        <w:rPr>
          <w:color w:val="000000" w:themeColor="text1"/>
          <w:sz w:val="24"/>
          <w:szCs w:val="24"/>
        </w:rPr>
        <w:t>. Показатели форм отчетности сопоставимы с данными аналитического и синтетического учета.</w:t>
      </w:r>
      <w:r w:rsidRPr="003C4242">
        <w:rPr>
          <w:color w:val="000000" w:themeColor="text1"/>
        </w:rPr>
        <w:t xml:space="preserve"> </w:t>
      </w:r>
      <w:r w:rsidRPr="003C4242">
        <w:rPr>
          <w:color w:val="000000" w:themeColor="text1"/>
          <w:sz w:val="24"/>
          <w:szCs w:val="24"/>
        </w:rPr>
        <w:t>Ведение бюджетного учета в учреждении осуществляется в порядке, предусмотренном</w:t>
      </w:r>
      <w:r w:rsidR="00021FDE" w:rsidRPr="003C4242">
        <w:rPr>
          <w:color w:val="000000" w:themeColor="text1"/>
          <w:sz w:val="24"/>
          <w:szCs w:val="24"/>
        </w:rPr>
        <w:t xml:space="preserve"> </w:t>
      </w:r>
      <w:r w:rsidRPr="003C4242">
        <w:rPr>
          <w:color w:val="000000" w:themeColor="text1"/>
          <w:sz w:val="24"/>
          <w:szCs w:val="24"/>
        </w:rPr>
        <w:t>Инструкцией N 157н, Инструкцией по применению Плана счетов бюджетного учета, утвержденной Приказом Минфина России от 06.12.2010 N 162н и учетной политикой учреждения. Бюджетных рисков, в том числе рисков искажения бюджетной отчетности, которые оказывают или могут оказать влияние на принятие управленческих решений, не выявлено. По нашему суждению, имеются достаточные основания считать бюджетную отчетность</w:t>
      </w:r>
      <w:r w:rsidR="009E1B0E" w:rsidRPr="003C4242">
        <w:rPr>
          <w:color w:val="000000" w:themeColor="text1"/>
          <w:sz w:val="24"/>
          <w:szCs w:val="24"/>
        </w:rPr>
        <w:t xml:space="preserve"> управления образования района</w:t>
      </w:r>
      <w:r w:rsidRPr="003C4242">
        <w:rPr>
          <w:color w:val="000000" w:themeColor="text1"/>
          <w:sz w:val="24"/>
          <w:szCs w:val="24"/>
        </w:rPr>
        <w:t xml:space="preserve"> за 202</w:t>
      </w:r>
      <w:r w:rsidR="0063666C" w:rsidRPr="003C4242">
        <w:rPr>
          <w:color w:val="000000" w:themeColor="text1"/>
          <w:sz w:val="24"/>
          <w:szCs w:val="24"/>
        </w:rPr>
        <w:t>4</w:t>
      </w:r>
      <w:r w:rsidRPr="003C4242">
        <w:rPr>
          <w:color w:val="000000" w:themeColor="text1"/>
          <w:sz w:val="24"/>
          <w:szCs w:val="24"/>
        </w:rPr>
        <w:t xml:space="preserve"> г. достоверной, а ведение бюджетного учета и составление бюджетной отчетности соответствующими методологии и стандартам бюджетного учета и бюджетной отчетности, установленным Минфином России и ведомственными НПА.</w:t>
      </w:r>
    </w:p>
    <w:p w:rsidR="00BE207F" w:rsidRPr="003C4242" w:rsidRDefault="00E62A3D" w:rsidP="00E62A3D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3C4242">
        <w:rPr>
          <w:color w:val="000000" w:themeColor="text1"/>
        </w:rPr>
        <w:t>(установлены пунктом 2 статьи 160.2-1 Бюджетного кодекса Российской Федерации и (или) программой аудиторского мероприятия)</w:t>
      </w:r>
    </w:p>
    <w:p w:rsidR="00E62A3D" w:rsidRPr="003C4242" w:rsidRDefault="00E62A3D" w:rsidP="00E62A3D">
      <w:pPr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5. Предложения и рекомендации о повышении качества финансового менеджмента:</w:t>
      </w:r>
    </w:p>
    <w:p w:rsidR="009E1B0E" w:rsidRPr="003C4242" w:rsidRDefault="009E1B0E" w:rsidP="00E62A3D">
      <w:pPr>
        <w:jc w:val="both"/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  <w:sz w:val="24"/>
          <w:szCs w:val="24"/>
        </w:rPr>
        <w:t>Усилить контроль,  за регистрацией и  предоставлением отчетов по муниципальному заданию со стороны подведомственных учреждений</w:t>
      </w:r>
      <w:r w:rsidR="001A03C6" w:rsidRPr="003C4242">
        <w:rPr>
          <w:color w:val="000000" w:themeColor="text1"/>
          <w:sz w:val="24"/>
          <w:szCs w:val="24"/>
        </w:rPr>
        <w:t>, размещению их на сайтах</w:t>
      </w:r>
      <w:r w:rsidRPr="003C4242">
        <w:rPr>
          <w:color w:val="000000" w:themeColor="text1"/>
          <w:sz w:val="24"/>
          <w:szCs w:val="24"/>
        </w:rPr>
        <w:t xml:space="preserve">. </w:t>
      </w:r>
    </w:p>
    <w:p w:rsidR="00BD5AFA" w:rsidRPr="003C4242" w:rsidRDefault="00E62A3D" w:rsidP="0063666C">
      <w:pPr>
        <w:pBdr>
          <w:top w:val="single" w:sz="4" w:space="1" w:color="auto"/>
        </w:pBdr>
        <w:spacing w:after="360"/>
        <w:jc w:val="center"/>
        <w:rPr>
          <w:color w:val="000000" w:themeColor="text1"/>
          <w:sz w:val="24"/>
          <w:szCs w:val="24"/>
        </w:rPr>
      </w:pPr>
      <w:r w:rsidRPr="003C4242">
        <w:rPr>
          <w:color w:val="000000" w:themeColor="text1"/>
        </w:rPr>
        <w:t>(указываются одно или несколько решений, направленных на повышение качества финансового менеджмента и</w:t>
      </w:r>
      <w:r w:rsidR="003064E3" w:rsidRPr="003C4242">
        <w:rPr>
          <w:color w:val="000000" w:themeColor="text1"/>
        </w:rPr>
        <w:t> </w:t>
      </w:r>
      <w:r w:rsidRPr="003C4242">
        <w:rPr>
          <w:color w:val="000000" w:themeColor="text1"/>
        </w:rPr>
        <w:t xml:space="preserve">предусмотренных пунктами 17 </w:t>
      </w:r>
      <w:r w:rsidR="003064E3" w:rsidRPr="003C4242">
        <w:rPr>
          <w:color w:val="000000" w:themeColor="text1"/>
        </w:rPr>
        <w:t>-</w:t>
      </w:r>
      <w:r w:rsidRPr="003C4242">
        <w:rPr>
          <w:color w:val="000000" w:themeColor="text1"/>
        </w:rPr>
        <w:t xml:space="preserve"> 19 федерального стандарта внутреннего финансового аудита «Реализация результатов внутреннего финансового аудита», утвержденного приказом Министерства финансов Российской Федерации от 22.05.2020 № 91н </w:t>
      </w:r>
      <w:r w:rsidRPr="003C4242">
        <w:rPr>
          <w:rStyle w:val="a9"/>
          <w:color w:val="000000" w:themeColor="text1"/>
        </w:rPr>
        <w:footnoteReference w:customMarkFollows="1" w:id="1"/>
        <w:t>1</w:t>
      </w:r>
      <w:r w:rsidRPr="003C4242">
        <w:rPr>
          <w:color w:val="000000" w:themeColor="text1"/>
        </w:rPr>
        <w:t>, в том числе предлагаемые меры по минимизации (устранению) бюджетных рисков и по организации внутреннего финансового контроля)</w:t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418"/>
        <w:gridCol w:w="397"/>
        <w:gridCol w:w="397"/>
        <w:gridCol w:w="284"/>
        <w:gridCol w:w="510"/>
        <w:gridCol w:w="170"/>
        <w:gridCol w:w="1985"/>
        <w:gridCol w:w="170"/>
        <w:gridCol w:w="3799"/>
      </w:tblGrid>
      <w:tr w:rsidR="007C1B57" w:rsidRPr="003C4242" w:rsidTr="0063666C">
        <w:tc>
          <w:tcPr>
            <w:tcW w:w="3856" w:type="dxa"/>
            <w:gridSpan w:val="8"/>
            <w:tcBorders>
              <w:bottom w:val="single" w:sz="4" w:space="0" w:color="auto"/>
            </w:tcBorders>
            <w:vAlign w:val="bottom"/>
          </w:tcPr>
          <w:p w:rsidR="007C1B57" w:rsidRPr="003C4242" w:rsidRDefault="00055D41" w:rsidP="007C1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И.о. н</w:t>
            </w:r>
            <w:r w:rsidR="00A8660A" w:rsidRPr="003C4242">
              <w:rPr>
                <w:color w:val="000000" w:themeColor="text1"/>
                <w:sz w:val="24"/>
                <w:szCs w:val="24"/>
              </w:rPr>
              <w:t>ачальник</w:t>
            </w:r>
            <w:r w:rsidRPr="003C4242">
              <w:rPr>
                <w:color w:val="000000" w:themeColor="text1"/>
                <w:sz w:val="24"/>
                <w:szCs w:val="24"/>
              </w:rPr>
              <w:t>а</w:t>
            </w:r>
            <w:r w:rsidR="009E1B0E" w:rsidRPr="003C4242">
              <w:rPr>
                <w:color w:val="000000" w:themeColor="text1"/>
                <w:sz w:val="24"/>
                <w:szCs w:val="24"/>
              </w:rPr>
              <w:t xml:space="preserve"> управления образования </w:t>
            </w:r>
          </w:p>
        </w:tc>
        <w:tc>
          <w:tcPr>
            <w:tcW w:w="170" w:type="dxa"/>
            <w:vAlign w:val="bottom"/>
          </w:tcPr>
          <w:p w:rsidR="007C1B57" w:rsidRPr="003C4242" w:rsidRDefault="007C1B5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C1B57" w:rsidRPr="003C4242" w:rsidRDefault="007C1B57" w:rsidP="009E1B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C1B57" w:rsidRPr="003C4242" w:rsidRDefault="007C1B5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:rsidR="007C1B57" w:rsidRPr="003C4242" w:rsidRDefault="00055D41" w:rsidP="007C1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Хрусталева О.В.</w:t>
            </w:r>
          </w:p>
        </w:tc>
      </w:tr>
      <w:tr w:rsidR="007C1B57" w:rsidRPr="003C4242" w:rsidTr="0063666C">
        <w:tc>
          <w:tcPr>
            <w:tcW w:w="3856" w:type="dxa"/>
            <w:gridSpan w:val="8"/>
            <w:tcBorders>
              <w:top w:val="single" w:sz="4" w:space="0" w:color="auto"/>
            </w:tcBorders>
          </w:tcPr>
          <w:p w:rsidR="007C1B57" w:rsidRPr="003C4242" w:rsidRDefault="007C1B57" w:rsidP="007C1B57">
            <w:pPr>
              <w:jc w:val="center"/>
              <w:rPr>
                <w:color w:val="000000" w:themeColor="text1"/>
              </w:rPr>
            </w:pPr>
            <w:r w:rsidRPr="003C4242">
              <w:rPr>
                <w:color w:val="000000" w:themeColor="text1"/>
              </w:rPr>
              <w:t>(должность)</w:t>
            </w:r>
          </w:p>
        </w:tc>
        <w:tc>
          <w:tcPr>
            <w:tcW w:w="170" w:type="dxa"/>
          </w:tcPr>
          <w:p w:rsidR="007C1B57" w:rsidRPr="003C4242" w:rsidRDefault="007C1B57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1B57" w:rsidRPr="003C4242" w:rsidRDefault="007C1B57" w:rsidP="007C1B57">
            <w:pPr>
              <w:jc w:val="center"/>
              <w:rPr>
                <w:color w:val="000000" w:themeColor="text1"/>
              </w:rPr>
            </w:pPr>
            <w:r w:rsidRPr="003C4242">
              <w:rPr>
                <w:color w:val="000000" w:themeColor="text1"/>
              </w:rPr>
              <w:t>(подпись)</w:t>
            </w:r>
          </w:p>
        </w:tc>
        <w:tc>
          <w:tcPr>
            <w:tcW w:w="170" w:type="dxa"/>
          </w:tcPr>
          <w:p w:rsidR="007C1B57" w:rsidRPr="003C4242" w:rsidRDefault="007C1B57">
            <w:pPr>
              <w:rPr>
                <w:color w:val="000000" w:themeColor="text1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7C1B57" w:rsidRPr="003C4242" w:rsidRDefault="007C1B57" w:rsidP="007C1B57">
            <w:pPr>
              <w:jc w:val="center"/>
              <w:rPr>
                <w:color w:val="000000" w:themeColor="text1"/>
              </w:rPr>
            </w:pPr>
            <w:r w:rsidRPr="003C4242">
              <w:rPr>
                <w:color w:val="000000" w:themeColor="text1"/>
              </w:rPr>
              <w:t>(фамилия, имя, отчество</w:t>
            </w:r>
            <w:r w:rsidR="009E1B0E" w:rsidRPr="003C4242">
              <w:rPr>
                <w:color w:val="000000" w:themeColor="text1"/>
              </w:rPr>
              <w:t>)</w:t>
            </w:r>
            <w:r w:rsidRPr="003C4242">
              <w:rPr>
                <w:color w:val="000000" w:themeColor="text1"/>
              </w:rPr>
              <w:br/>
            </w:r>
          </w:p>
        </w:tc>
      </w:tr>
      <w:tr w:rsidR="007C1B57" w:rsidRPr="003C4242" w:rsidTr="0063666C">
        <w:trPr>
          <w:gridAfter w:val="5"/>
          <w:wAfter w:w="6634" w:type="dxa"/>
        </w:trPr>
        <w:tc>
          <w:tcPr>
            <w:tcW w:w="198" w:type="dxa"/>
            <w:vAlign w:val="bottom"/>
          </w:tcPr>
          <w:p w:rsidR="007C1B57" w:rsidRPr="003C4242" w:rsidRDefault="007C1B57" w:rsidP="005D7D5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C1B57" w:rsidRPr="003C4242" w:rsidRDefault="0038750A" w:rsidP="005D7D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5" w:type="dxa"/>
            <w:vAlign w:val="bottom"/>
          </w:tcPr>
          <w:p w:rsidR="007C1B57" w:rsidRPr="003C4242" w:rsidRDefault="007C1B57" w:rsidP="005D7D52">
            <w:pPr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C1B57" w:rsidRPr="003C4242" w:rsidRDefault="0038750A" w:rsidP="005D7D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vAlign w:val="bottom"/>
          </w:tcPr>
          <w:p w:rsidR="007C1B57" w:rsidRPr="003C4242" w:rsidRDefault="007C1B57" w:rsidP="005D7D5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C1B57" w:rsidRPr="003C4242" w:rsidRDefault="00B466B2" w:rsidP="005D7D52">
            <w:pPr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2</w:t>
            </w:r>
            <w:r w:rsidR="0038750A" w:rsidRPr="003C424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4" w:type="dxa"/>
            <w:vAlign w:val="bottom"/>
          </w:tcPr>
          <w:p w:rsidR="007C1B57" w:rsidRPr="003C4242" w:rsidRDefault="007C1B57" w:rsidP="005D7D5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C4242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AD1148" w:rsidRPr="003C4242" w:rsidRDefault="00AD1148">
      <w:pPr>
        <w:rPr>
          <w:color w:val="000000" w:themeColor="text1"/>
          <w:sz w:val="24"/>
          <w:szCs w:val="24"/>
        </w:rPr>
      </w:pPr>
    </w:p>
    <w:sectPr w:rsidR="00AD1148" w:rsidRPr="003C4242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31" w:rsidRDefault="003C4331">
      <w:r>
        <w:separator/>
      </w:r>
    </w:p>
  </w:endnote>
  <w:endnote w:type="continuationSeparator" w:id="0">
    <w:p w:rsidR="003C4331" w:rsidRDefault="003C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31" w:rsidRDefault="003C4331">
      <w:r>
        <w:separator/>
      </w:r>
    </w:p>
  </w:footnote>
  <w:footnote w:type="continuationSeparator" w:id="0">
    <w:p w:rsidR="003C4331" w:rsidRDefault="003C4331">
      <w:r>
        <w:continuationSeparator/>
      </w:r>
    </w:p>
  </w:footnote>
  <w:footnote w:id="1">
    <w:p w:rsidR="00000000" w:rsidRDefault="00E62A3D" w:rsidP="00E62A3D">
      <w:pPr>
        <w:pStyle w:val="a7"/>
        <w:ind w:firstLine="567"/>
        <w:jc w:val="both"/>
      </w:pPr>
      <w:r>
        <w:rPr>
          <w:rStyle w:val="a9"/>
        </w:rPr>
        <w:t>1</w:t>
      </w:r>
      <w:r>
        <w:t> Федеральный стандарт внутреннего финансового аудита «Реализация результатов внутреннего финансового аудита», утвержденный приказом Министерства финансов Росси</w:t>
      </w:r>
      <w:r w:rsidR="003064E3">
        <w:t>йской Федерации от 22.05.2020 № </w:t>
      </w:r>
      <w:r>
        <w:t xml:space="preserve">91н (зарегистрирован Министерством юстиции Российской Федерации 23 июня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 w:rsidR="003064E3">
        <w:t>., регистрационный № </w:t>
      </w:r>
      <w:r>
        <w:t>58746).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1C1C6B"/>
    <w:multiLevelType w:val="singleLevel"/>
    <w:tmpl w:val="851C1C6B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1">
    <w:nsid w:val="AE088255"/>
    <w:multiLevelType w:val="singleLevel"/>
    <w:tmpl w:val="AE088255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2">
    <w:nsid w:val="4705A5BC"/>
    <w:multiLevelType w:val="singleLevel"/>
    <w:tmpl w:val="4705A5BC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3">
    <w:nsid w:val="60C0354C"/>
    <w:multiLevelType w:val="singleLevel"/>
    <w:tmpl w:val="60C0354C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4">
    <w:nsid w:val="70181617"/>
    <w:multiLevelType w:val="singleLevel"/>
    <w:tmpl w:val="70181617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DE"/>
    <w:rsid w:val="00055D41"/>
    <w:rsid w:val="00064425"/>
    <w:rsid w:val="000D00F3"/>
    <w:rsid w:val="000F5EB0"/>
    <w:rsid w:val="00147817"/>
    <w:rsid w:val="001840BB"/>
    <w:rsid w:val="001A03C6"/>
    <w:rsid w:val="00264B4F"/>
    <w:rsid w:val="00277B78"/>
    <w:rsid w:val="00283F8F"/>
    <w:rsid w:val="002B7392"/>
    <w:rsid w:val="002C7465"/>
    <w:rsid w:val="003064E3"/>
    <w:rsid w:val="00335089"/>
    <w:rsid w:val="0038750A"/>
    <w:rsid w:val="003A2B52"/>
    <w:rsid w:val="003C4242"/>
    <w:rsid w:val="003C4331"/>
    <w:rsid w:val="00405127"/>
    <w:rsid w:val="004342B7"/>
    <w:rsid w:val="004437B0"/>
    <w:rsid w:val="004E154F"/>
    <w:rsid w:val="005B593B"/>
    <w:rsid w:val="005D7D52"/>
    <w:rsid w:val="0060510E"/>
    <w:rsid w:val="00611F40"/>
    <w:rsid w:val="0063666C"/>
    <w:rsid w:val="00660A75"/>
    <w:rsid w:val="00687167"/>
    <w:rsid w:val="006B3201"/>
    <w:rsid w:val="006B38D7"/>
    <w:rsid w:val="006D57C9"/>
    <w:rsid w:val="007272F0"/>
    <w:rsid w:val="007918D5"/>
    <w:rsid w:val="007C1B57"/>
    <w:rsid w:val="00812EA1"/>
    <w:rsid w:val="00855BA8"/>
    <w:rsid w:val="008B2187"/>
    <w:rsid w:val="008D4762"/>
    <w:rsid w:val="008D6B19"/>
    <w:rsid w:val="008E5FAC"/>
    <w:rsid w:val="009711C9"/>
    <w:rsid w:val="0097789C"/>
    <w:rsid w:val="009A53E3"/>
    <w:rsid w:val="009B5DC7"/>
    <w:rsid w:val="009D13C6"/>
    <w:rsid w:val="009E1B0E"/>
    <w:rsid w:val="009F6151"/>
    <w:rsid w:val="00A74A4F"/>
    <w:rsid w:val="00A74F33"/>
    <w:rsid w:val="00A8660A"/>
    <w:rsid w:val="00A94ED8"/>
    <w:rsid w:val="00AD1148"/>
    <w:rsid w:val="00AF2B25"/>
    <w:rsid w:val="00B053DA"/>
    <w:rsid w:val="00B466B2"/>
    <w:rsid w:val="00B66943"/>
    <w:rsid w:val="00B748A2"/>
    <w:rsid w:val="00B86FC5"/>
    <w:rsid w:val="00B9400F"/>
    <w:rsid w:val="00BA0836"/>
    <w:rsid w:val="00BD56DB"/>
    <w:rsid w:val="00BD5AFA"/>
    <w:rsid w:val="00BE207F"/>
    <w:rsid w:val="00C1094C"/>
    <w:rsid w:val="00C66B15"/>
    <w:rsid w:val="00C81231"/>
    <w:rsid w:val="00D10C5D"/>
    <w:rsid w:val="00D26DB0"/>
    <w:rsid w:val="00DA226A"/>
    <w:rsid w:val="00DD3644"/>
    <w:rsid w:val="00DD4F1C"/>
    <w:rsid w:val="00DD6854"/>
    <w:rsid w:val="00E62A3D"/>
    <w:rsid w:val="00E63DB3"/>
    <w:rsid w:val="00E83C10"/>
    <w:rsid w:val="00ED5396"/>
    <w:rsid w:val="00EE4865"/>
    <w:rsid w:val="00F20391"/>
    <w:rsid w:val="00F45CB1"/>
    <w:rsid w:val="00F56FCD"/>
    <w:rsid w:val="00F94D82"/>
    <w:rsid w:val="00F95E9D"/>
    <w:rsid w:val="00FE4AC7"/>
    <w:rsid w:val="00FE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D5AFA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95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95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8272</Characters>
  <Application>Microsoft Office Word</Application>
  <DocSecurity>0</DocSecurity>
  <Lines>68</Lines>
  <Paragraphs>19</Paragraphs>
  <ScaleCrop>false</ScaleCrop>
  <Company>КонсультантПлюс</Company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Zverdvd.org</cp:lastModifiedBy>
  <cp:revision>2</cp:revision>
  <cp:lastPrinted>2025-07-18T13:16:00Z</cp:lastPrinted>
  <dcterms:created xsi:type="dcterms:W3CDTF">2025-09-09T05:41:00Z</dcterms:created>
  <dcterms:modified xsi:type="dcterms:W3CDTF">2025-09-09T05:41:00Z</dcterms:modified>
</cp:coreProperties>
</file>